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7D8" w:rsidRPr="005747E5" w:rsidRDefault="00E507D8" w:rsidP="00E507D8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507D8" w:rsidRPr="0020792D" w:rsidRDefault="00E507D8" w:rsidP="00E507D8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E507D8" w:rsidRDefault="00E507D8" w:rsidP="00E507D8">
      <w:pPr>
        <w:rPr>
          <w:rFonts w:ascii="Times New Roman" w:hAnsi="Times New Roman" w:cs="Times New Roman"/>
          <w:sz w:val="28"/>
          <w:szCs w:val="28"/>
        </w:rPr>
      </w:pP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6D64AB">
      <w:pPr>
        <w:pStyle w:val="af0"/>
        <w:tabs>
          <w:tab w:val="left" w:pos="5103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A4011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A4011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6D6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A81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6D6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Default="00AC4D1A" w:rsidP="006D64AB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</w:t>
      </w:r>
      <w:r w:rsidR="00A8143F">
        <w:rPr>
          <w:rFonts w:ascii="Times New Roman" w:hAnsi="Times New Roman"/>
          <w:sz w:val="28"/>
          <w:szCs w:val="28"/>
        </w:rPr>
        <w:t>;</w:t>
      </w:r>
    </w:p>
    <w:p w:rsidR="00A8143F" w:rsidRDefault="00A8143F" w:rsidP="00A8143F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2019-202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2019-2023 годы».</w:t>
      </w:r>
    </w:p>
    <w:p w:rsidR="00A8143F" w:rsidRDefault="00A8143F" w:rsidP="00A8143F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AC4D1A" w:rsidRPr="0020792D" w:rsidRDefault="00AC4D1A" w:rsidP="006D64AB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lastRenderedPageBreak/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F66477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F66477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F6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по культуре, спорту и социальной политике, муниципальное бюджетное учреждение дополнительного образования «Детско-юношеская спортивная школа Ханты-Мансийского района»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(комитет по финансам, сельские поселения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(муниципальное автономное учреждения «Организационно-методический центр»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опеки и попечительства)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департамент имущественных и земельных отношений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Pr="00F66477" w:rsidRDefault="00F66477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2. Повышение эффективности реализации образовательной </w:t>
            </w:r>
            <w:r w:rsidR="00D22E85">
              <w:rPr>
                <w:rFonts w:ascii="Times New Roman" w:hAnsi="Times New Roman"/>
                <w:szCs w:val="24"/>
              </w:rPr>
              <w:t xml:space="preserve">и </w:t>
            </w:r>
            <w:r w:rsidR="00D22E85" w:rsidRPr="00D22E85">
              <w:rPr>
                <w:rFonts w:ascii="Times New Roman" w:hAnsi="Times New Roman"/>
                <w:szCs w:val="24"/>
              </w:rPr>
              <w:t>молодежной</w:t>
            </w:r>
            <w:r w:rsidR="00D22E85" w:rsidRPr="0020792D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20792D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У</w:t>
            </w:r>
            <w:r w:rsidRPr="00D22E85">
              <w:rPr>
                <w:rFonts w:ascii="Times New Roman" w:hAnsi="Times New Roman"/>
                <w:szCs w:val="24"/>
              </w:rPr>
              <w:t xml:space="preserve">стойчивое демографическое развитие; реализация </w:t>
            </w:r>
            <w:r w:rsidRPr="00D22E85">
              <w:rPr>
                <w:rFonts w:ascii="Times New Roman" w:hAnsi="Times New Roman"/>
                <w:szCs w:val="24"/>
              </w:rPr>
              <w:lastRenderedPageBreak/>
              <w:t>механизма получения государственной поддержки семьями и детьми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Задачи муниципальной</w:t>
            </w:r>
          </w:p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О</w:t>
            </w:r>
            <w:r w:rsidRPr="000220E6">
              <w:rPr>
                <w:rFonts w:ascii="Times New Roman" w:hAnsi="Times New Roman"/>
                <w:szCs w:val="24"/>
              </w:rPr>
              <w:t>беспечение эффективной системы социализации и самореализации молодежи, развитие потенциала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О</w:t>
            </w:r>
            <w:r w:rsidRPr="000220E6">
              <w:rPr>
                <w:rFonts w:ascii="Times New Roman" w:hAnsi="Times New Roman"/>
                <w:szCs w:val="24"/>
              </w:rPr>
              <w:t>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 П</w:t>
            </w:r>
            <w:r w:rsidRPr="000220E6">
              <w:rPr>
                <w:rFonts w:ascii="Times New Roman" w:hAnsi="Times New Roman"/>
                <w:szCs w:val="24"/>
              </w:rPr>
              <w:t>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Ф</w:t>
            </w:r>
            <w:r w:rsidRPr="000220E6">
              <w:rPr>
                <w:rFonts w:ascii="Times New Roman" w:hAnsi="Times New Roman"/>
                <w:szCs w:val="24"/>
              </w:rPr>
              <w:t>ормирование системы выявления и продвижения талантливой и инициативной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 С</w:t>
            </w:r>
            <w:r w:rsidRPr="000220E6">
              <w:rPr>
                <w:rFonts w:ascii="Times New Roman" w:hAnsi="Times New Roman"/>
                <w:szCs w:val="24"/>
              </w:rPr>
              <w:t>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 В</w:t>
            </w:r>
            <w:r w:rsidRPr="000220E6">
              <w:rPr>
                <w:rFonts w:ascii="Times New Roman" w:hAnsi="Times New Roman"/>
                <w:szCs w:val="24"/>
              </w:rPr>
              <w:t>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0220E6" w:rsidRPr="0020792D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 С</w:t>
            </w:r>
            <w:r w:rsidRPr="000220E6">
              <w:rPr>
                <w:rFonts w:ascii="Times New Roman" w:hAnsi="Times New Roman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  <w:p w:rsidR="000220E6" w:rsidRPr="0020792D" w:rsidRDefault="000220E6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подпрограмма 5 </w:t>
            </w:r>
            <w:r w:rsidRPr="000220E6">
              <w:rPr>
                <w:rFonts w:ascii="Times New Roman" w:hAnsi="Times New Roman"/>
                <w:szCs w:val="24"/>
              </w:rPr>
              <w:t xml:space="preserve">«Дети и молодежь Ханты-Мансийского </w:t>
            </w:r>
            <w:r w:rsidRPr="000220E6">
              <w:rPr>
                <w:rFonts w:ascii="Times New Roman" w:hAnsi="Times New Roman"/>
                <w:szCs w:val="24"/>
              </w:rPr>
              <w:lastRenderedPageBreak/>
              <w:t>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="005C6F02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проект 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02">
              <w:rPr>
                <w:rFonts w:ascii="Times New Roman" w:hAnsi="Times New Roman" w:cs="Times New Roman"/>
                <w:sz w:val="24"/>
                <w:szCs w:val="24"/>
              </w:rPr>
              <w:t xml:space="preserve">«Успех каждого ребенка» 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E4398" w:rsidRPr="0020792D" w:rsidRDefault="004E4398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C86570">
              <w:rPr>
                <w:rFonts w:ascii="Times New Roman" w:hAnsi="Times New Roman"/>
                <w:szCs w:val="24"/>
              </w:rPr>
              <w:t>7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единиц</w:t>
            </w:r>
          </w:p>
          <w:p w:rsidR="004B5D0F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B5D0F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 w:rsidR="00073B2C"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0 человек</w:t>
            </w:r>
          </w:p>
          <w:p w:rsidR="00C66604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на территории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 xml:space="preserve">с 0%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</w:t>
            </w:r>
            <w:r w:rsidR="00C86570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5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100%</w:t>
            </w:r>
          </w:p>
          <w:p w:rsidR="00F0785E" w:rsidRDefault="003E339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86570">
              <w:rPr>
                <w:rFonts w:ascii="Times New Roman" w:hAnsi="Times New Roman"/>
                <w:szCs w:val="24"/>
              </w:rPr>
              <w:t>6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127B3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0,00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0,00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млн. человек</w:t>
            </w:r>
          </w:p>
          <w:p w:rsidR="00C86570" w:rsidRDefault="00127B36" w:rsidP="00C86570">
            <w:pPr>
              <w:pStyle w:val="HTML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231" w:rsidRPr="00EC02E6">
              <w:rPr>
                <w:rFonts w:ascii="Times New Roman" w:hAnsi="Times New Roman" w:cs="Times New Roman"/>
                <w:sz w:val="24"/>
                <w:szCs w:val="28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некомерческих организаций, государственных и муниципальных учреждений, в добровольческую (волонтерскую) деятельность</w:t>
            </w:r>
            <w:r w:rsidR="00570231">
              <w:rPr>
                <w:rFonts w:ascii="Times New Roman" w:hAnsi="Times New Roman" w:cs="Times New Roman"/>
                <w:sz w:val="24"/>
                <w:szCs w:val="28"/>
              </w:rPr>
              <w:t xml:space="preserve">, с 0,000900 до 0,001302  </w:t>
            </w:r>
            <w:r w:rsidR="00570231" w:rsidRPr="00EC02E6">
              <w:rPr>
                <w:rFonts w:ascii="Times New Roman" w:hAnsi="Times New Roman" w:cs="Times New Roman"/>
                <w:sz w:val="24"/>
                <w:szCs w:val="28"/>
              </w:rPr>
              <w:t>млн.человек</w:t>
            </w:r>
          </w:p>
          <w:p w:rsidR="00127B36" w:rsidRDefault="00C86570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127B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задействованной в мероприятиях по вовлечению в творческую деятельность, </w:t>
            </w:r>
            <w:r w:rsidR="00127B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числа молодежи в автономном округе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36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27B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27B3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Сохранение ежегодной доли детей в возрасте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6 до 17 лет (включительно), охваченных всеми формами отдыха и оздоровления, на уровне 100%</w:t>
            </w:r>
          </w:p>
          <w:p w:rsidR="00127B3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Увеличение уровня удовлетворенности населения услугами в социальной сфере с 81% до 8</w:t>
            </w:r>
            <w:r w:rsidR="00C8657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127B36" w:rsidRDefault="00127B36" w:rsidP="00127B36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2</w:t>
            </w:r>
            <w:r w:rsidR="00C86570">
              <w:rPr>
                <w:rFonts w:ascii="Times New Roman" w:hAnsi="Times New Roman" w:cs="Times New Roman"/>
                <w:b w:val="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 Увеличение уровня </w:t>
            </w:r>
            <w:r>
              <w:rPr>
                <w:rStyle w:val="aff4"/>
                <w:rFonts w:ascii="Times New Roman" w:hAnsi="Times New Roman" w:cs="Times New Roman"/>
                <w:b w:val="0"/>
                <w:sz w:val="24"/>
                <w:szCs w:val="28"/>
              </w:rPr>
              <w:t xml:space="preserve">удовлетворенности молодежи качеством услуг, предоставляемых в сфере молодежной политики,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с 74% до 8</w:t>
            </w:r>
            <w:r w:rsidR="005818BF">
              <w:rPr>
                <w:rFonts w:ascii="Times New Roman" w:hAnsi="Times New Roman" w:cs="Times New Roman"/>
                <w:b w:val="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%</w:t>
            </w:r>
          </w:p>
          <w:p w:rsidR="00127B36" w:rsidRPr="00AC0906" w:rsidRDefault="00127B36" w:rsidP="00C8657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C86570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100%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127B3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127B36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127B36">
              <w:rPr>
                <w:rFonts w:ascii="Times New Roman" w:hAnsi="Times New Roman"/>
                <w:szCs w:val="24"/>
              </w:rPr>
              <w:t>9 821 644,9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2021 год – </w:t>
            </w:r>
            <w:r w:rsidR="00127B36">
              <w:rPr>
                <w:rFonts w:ascii="Times New Roman" w:hAnsi="Times New Roman"/>
                <w:szCs w:val="24"/>
              </w:rPr>
              <w:t>2 006 731,2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Default="004D35CF" w:rsidP="00127B3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127B36">
              <w:rPr>
                <w:rFonts w:ascii="Times New Roman" w:hAnsi="Times New Roman"/>
                <w:szCs w:val="24"/>
              </w:rPr>
              <w:t> 971 654,1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127B36">
              <w:rPr>
                <w:rFonts w:ascii="Times New Roman" w:hAnsi="Times New Roman"/>
                <w:szCs w:val="24"/>
              </w:rPr>
              <w:t>;</w:t>
            </w:r>
          </w:p>
          <w:p w:rsidR="00127B36" w:rsidRPr="0020792D" w:rsidRDefault="00127B36" w:rsidP="00127B3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год – 1 993 613,60 тыс. рублей</w:t>
            </w:r>
          </w:p>
        </w:tc>
      </w:tr>
      <w:tr w:rsidR="00127B36" w:rsidRPr="0020792D" w:rsidTr="00C46744">
        <w:tc>
          <w:tcPr>
            <w:tcW w:w="2802" w:type="dxa"/>
          </w:tcPr>
          <w:p w:rsidR="00127B36" w:rsidRPr="0020792D" w:rsidRDefault="00127B36" w:rsidP="00127B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6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Ханты-Мансийского района </w:t>
            </w:r>
          </w:p>
        </w:tc>
        <w:tc>
          <w:tcPr>
            <w:tcW w:w="6804" w:type="dxa"/>
          </w:tcPr>
          <w:p w:rsidR="00127B36" w:rsidRPr="00127B36" w:rsidRDefault="00127B36" w:rsidP="00127B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2BCD" w:rsidRDefault="00BA2BCD" w:rsidP="00BA2B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исследований, общественного обсуждения, инициативного бюджетирования и реализуется в течение 2019 – 2023 годов.</w:t>
      </w: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программных мероприятий на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передача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задание;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20792D" w:rsidRDefault="003C4305" w:rsidP="003C4305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мероприятий муниципальной программы осуществляется </w:t>
      </w:r>
      <w:r w:rsidRPr="0020792D">
        <w:rPr>
          <w:sz w:val="28"/>
          <w:szCs w:val="28"/>
        </w:rPr>
        <w:lastRenderedPageBreak/>
        <w:t>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предусмотренных заключенными соглашениями.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3C4305" w:rsidRDefault="003C4305" w:rsidP="00A8143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64AB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50"/>
        <w:gridCol w:w="2794"/>
        <w:gridCol w:w="1213"/>
        <w:gridCol w:w="926"/>
        <w:gridCol w:w="926"/>
        <w:gridCol w:w="932"/>
        <w:gridCol w:w="849"/>
        <w:gridCol w:w="920"/>
        <w:gridCol w:w="1458"/>
        <w:gridCol w:w="4572"/>
      </w:tblGrid>
      <w:tr w:rsidR="003C4305" w:rsidRPr="0020792D" w:rsidTr="005818BF">
        <w:trPr>
          <w:trHeight w:val="20"/>
        </w:trPr>
        <w:tc>
          <w:tcPr>
            <w:tcW w:w="117" w:type="pct"/>
            <w:vMerge w:val="restart"/>
            <w:shd w:val="clear" w:color="auto" w:fill="auto"/>
            <w:textDirection w:val="btLr"/>
            <w:hideMark/>
          </w:tcPr>
          <w:p w:rsidR="003C4305" w:rsidRPr="0020792D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24" w:type="pct"/>
            <w:gridSpan w:val="5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88" w:type="pct"/>
            <w:vMerge w:val="restar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30" w:type="pct"/>
            <w:vMerge w:val="restar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20792D" w:rsidTr="005818BF">
        <w:trPr>
          <w:cantSplit/>
          <w:trHeight w:val="1134"/>
        </w:trPr>
        <w:tc>
          <w:tcPr>
            <w:tcW w:w="117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10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312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8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08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88" w:type="pct"/>
            <w:vMerge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  <w:vMerge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3C4305" w:rsidRPr="0020792D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pct"/>
          </w:tcPr>
          <w:p w:rsidR="003C4305" w:rsidRPr="0020792D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pct"/>
          </w:tcPr>
          <w:p w:rsidR="003C4305" w:rsidRPr="0020792D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3C4305" w:rsidRPr="0020792D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3C4305" w:rsidRPr="0020792D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06" w:type="pct"/>
            <w:shd w:val="clear" w:color="auto" w:fill="auto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0" w:type="pct"/>
            <w:shd w:val="clear" w:color="auto" w:fill="auto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0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2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4305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88" w:type="pct"/>
          </w:tcPr>
          <w:p w:rsidR="003C4305" w:rsidRPr="0020792D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0" w:type="pct"/>
          </w:tcPr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C4305" w:rsidRPr="0020792D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06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8" w:type="pct"/>
          </w:tcPr>
          <w:p w:rsidR="005818BF" w:rsidRPr="0020792D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>
              <w:rPr>
                <w:sz w:val="20"/>
              </w:rPr>
              <w:t>го округа «Современная школа»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Численность обучающихся, охваченных основными и </w:t>
            </w:r>
            <w:r w:rsidRPr="0020792D">
              <w:rPr>
                <w:sz w:val="20"/>
              </w:rPr>
              <w:lastRenderedPageBreak/>
              <w:t xml:space="preserve">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lastRenderedPageBreak/>
              <w:t>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310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308" w:type="pct"/>
          </w:tcPr>
          <w:p w:rsidR="005818BF" w:rsidRPr="0020792D" w:rsidRDefault="005818BF" w:rsidP="005818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488" w:type="pct"/>
          </w:tcPr>
          <w:p w:rsidR="005818BF" w:rsidRPr="0020792D" w:rsidRDefault="005818BF" w:rsidP="003C43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в </w:t>
            </w:r>
            <w:r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20792D">
              <w:rPr>
                <w:sz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06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0" w:type="pct"/>
          </w:tcPr>
          <w:p w:rsidR="005818BF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0792D">
              <w:rPr>
                <w:sz w:val="20"/>
              </w:rPr>
              <w:t>ассчитывается по формуле:</w:t>
            </w:r>
          </w:p>
          <w:p w:rsidR="005818BF" w:rsidRPr="0020792D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4200" cy="323850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28" cy="32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Pr="0020792D">
              <w:rPr>
                <w:sz w:val="20"/>
              </w:rPr>
              <w:t xml:space="preserve"> численность обучающихся (всего) (форма </w:t>
            </w:r>
            <w:r>
              <w:rPr>
                <w:sz w:val="20"/>
              </w:rPr>
              <w:br/>
            </w:r>
            <w:r w:rsidRPr="0020792D">
              <w:rPr>
                <w:sz w:val="20"/>
              </w:rPr>
              <w:t>№ ОО-1, разде</w:t>
            </w:r>
            <w:r>
              <w:rPr>
                <w:sz w:val="20"/>
              </w:rPr>
              <w:t>л 2.9, строки 01-03, графы 3 – 5)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88" w:type="pct"/>
          </w:tcPr>
          <w:p w:rsidR="005818BF" w:rsidRPr="0020792D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pct"/>
          </w:tcPr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818B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430043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5" cy="43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5818BF" w:rsidRPr="00B71D66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20792D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06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0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5818BF" w:rsidRPr="0020792D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5818BF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 xml:space="preserve">детских технопарков «Кванториум» (мобильных технопарков </w:t>
            </w:r>
            <w:r>
              <w:rPr>
                <w:sz w:val="20"/>
              </w:rPr>
              <w:lastRenderedPageBreak/>
              <w:t>«Кванториум»</w:t>
            </w:r>
            <w:r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0" w:type="pct"/>
          </w:tcPr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818BF" w:rsidRPr="0020792D" w:rsidRDefault="005027EC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20792D">
              <w:rPr>
                <w:sz w:val="20"/>
              </w:rPr>
              <w:t>,</w:t>
            </w:r>
          </w:p>
          <w:p w:rsidR="005818BF" w:rsidRPr="0020792D" w:rsidRDefault="005818BF" w:rsidP="006D64AB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5818BF" w:rsidRPr="0020792D" w:rsidTr="005818BF">
        <w:trPr>
          <w:trHeight w:val="643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нарастающим итогом, человек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8" w:type="pct"/>
          </w:tcPr>
          <w:p w:rsidR="005818BF" w:rsidRPr="0020792D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функциям и результатам проектов, направленных на раннюю профориентацию, человек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0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818BF" w:rsidRDefault="005818BF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формуле:</w:t>
            </w:r>
          </w:p>
          <w:p w:rsidR="005818BF" w:rsidRDefault="005027EC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18BF" w:rsidRPr="00BD1953" w:rsidRDefault="005818BF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5818BF" w:rsidRDefault="005818BF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818BF" w:rsidRPr="008013E2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6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30" w:type="pct"/>
          </w:tcPr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818BF" w:rsidRPr="00BD1953" w:rsidRDefault="005027E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818BF" w:rsidRPr="0020792D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818BF" w:rsidRPr="0020792D" w:rsidRDefault="005027EC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5818BF">
              <w:t xml:space="preserve"> –</w:t>
            </w:r>
            <w:r w:rsidR="005818BF" w:rsidRPr="0020792D">
              <w:t xml:space="preserve"> общее количес</w:t>
            </w:r>
            <w:r w:rsidR="005818BF">
              <w:t>тво образовательных организаций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8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pct"/>
          </w:tcPr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818BF" w:rsidRPr="00BD1953" w:rsidRDefault="005027E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818BF" w:rsidRPr="0020792D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образовательных организациях, успешно внедривших федеральную информационно-сервисную платформу цифровой образовательной среды;</w:t>
            </w:r>
          </w:p>
          <w:p w:rsidR="005818BF" w:rsidRPr="0020792D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обучающихся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3C4305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pct"/>
          </w:tcPr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818BF" w:rsidRPr="003C4305" w:rsidRDefault="005027E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100 %</m:t>
              </m:r>
            </m:oMath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818BF" w:rsidRPr="003C4305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5818BF" w:rsidRPr="003C43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8BF" w:rsidRPr="003C4305" w:rsidRDefault="005027EC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3C4305">
              <w:rPr>
                <w:rFonts w:ascii="Times New Roman" w:hAnsi="Times New Roman" w:cs="Times New Roman"/>
                <w:sz w:val="20"/>
                <w:szCs w:val="20"/>
              </w:rPr>
              <w:br/>
              <w:t>от 1 до 6 лет, %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0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2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4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0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8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</w:tcPr>
          <w:p w:rsidR="005818BF" w:rsidRPr="003C4305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3C4305">
              <w:rPr>
                <w:bCs/>
                <w:sz w:val="20"/>
              </w:rPr>
              <w:t>показатель о</w:t>
            </w:r>
            <w:r w:rsidRPr="003C4305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3C4305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  <w:hideMark/>
          </w:tcPr>
          <w:p w:rsidR="005818BF" w:rsidRPr="003C4305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3C43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06" w:type="pct"/>
            <w:shd w:val="clear" w:color="auto" w:fill="auto"/>
            <w:hideMark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  <w:shd w:val="clear" w:color="auto" w:fill="auto"/>
            <w:hideMark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0" w:type="pct"/>
          </w:tcPr>
          <w:p w:rsidR="005818BF" w:rsidRPr="003C4305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3C4305">
              <w:rPr>
                <w:sz w:val="20"/>
              </w:rPr>
              <w:t>портфель проектов «Демография»;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818BF" w:rsidRPr="003C4305" w:rsidRDefault="005027E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100 %</m:t>
              </m:r>
            </m:oMath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818BF" w:rsidRPr="003C4305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  <w:t>от 1,5 лет до 3 лет, получающих дошкольное образование;</w:t>
            </w:r>
          </w:p>
          <w:p w:rsidR="005818BF" w:rsidRPr="003C4305" w:rsidRDefault="005027EC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818BF"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5818BF"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в возрасте до трех лет, посещающих муниципальные образовательные организации, </w:t>
            </w:r>
            <w:r w:rsidRPr="003C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2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84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88" w:type="pct"/>
          </w:tcPr>
          <w:p w:rsidR="005818BF" w:rsidRPr="003C4305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30" w:type="pct"/>
          </w:tcPr>
          <w:p w:rsidR="005818BF" w:rsidRPr="003C4305" w:rsidRDefault="005818BF" w:rsidP="006D64AB">
            <w:pPr>
              <w:pStyle w:val="ConsPlusNormal"/>
              <w:jc w:val="both"/>
              <w:rPr>
                <w:bCs/>
                <w:sz w:val="20"/>
              </w:rPr>
            </w:pPr>
            <w:r w:rsidRPr="003C4305">
              <w:rPr>
                <w:sz w:val="20"/>
              </w:rPr>
              <w:t>портфель проектов «Демография»;</w:t>
            </w:r>
          </w:p>
          <w:p w:rsidR="005818BF" w:rsidRPr="003C4305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3C4305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3C4305">
              <w:rPr>
                <w:sz w:val="20"/>
              </w:rPr>
              <w:br/>
            </w:r>
            <w:r w:rsidRPr="003C4305">
              <w:rPr>
                <w:sz w:val="20"/>
              </w:rPr>
              <w:lastRenderedPageBreak/>
              <w:t>№ 85-к</w:t>
            </w:r>
          </w:p>
        </w:tc>
      </w:tr>
      <w:tr w:rsidR="005818BF" w:rsidRPr="0020792D" w:rsidTr="00570231">
        <w:trPr>
          <w:trHeight w:val="3415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EC0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обучающихся, вовлеченных в деятельность общественных объединений на базе </w:t>
            </w:r>
            <w:r w:rsidR="005C33B4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 профессиональных образовательных организаций и образовательных организаций высшего образования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, млн. чел. накопительным итогом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0,00057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0,000980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0,001528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0,002105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0,0033</w:t>
            </w:r>
            <w:r w:rsidR="00EC02E6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88" w:type="pct"/>
          </w:tcPr>
          <w:p w:rsidR="005818BF" w:rsidRPr="003C4305" w:rsidRDefault="005818BF" w:rsidP="005818BF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33</w:t>
            </w:r>
            <w:r w:rsidR="00EC02E6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портфель проекта «Образование».</w:t>
            </w:r>
          </w:p>
          <w:p w:rsidR="005818BF" w:rsidRPr="003C4305" w:rsidRDefault="005027EC" w:rsidP="003C430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2"/>
                        <w:szCs w:val="22"/>
                      </w:rPr>
                      <m:t>вовл</m:t>
                    </m: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Times New Roman" w:cs="Times New Roman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2"/>
                        <w:szCs w:val="22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2"/>
                        <w:szCs w:val="22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818BF" w:rsidRPr="003C4305" w:rsidRDefault="005027EC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</w:rPr>
                    <m:t>1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 – численность обучающихся, задействованных в органах ученического самоуправления;</w:t>
            </w:r>
          </w:p>
          <w:p w:rsidR="005818BF" w:rsidRPr="003C4305" w:rsidRDefault="005027EC" w:rsidP="003C4305">
            <w:pPr>
              <w:jc w:val="both"/>
              <w:rPr>
                <w:rStyle w:val="aff4"/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</w:rPr>
                    <m:t>2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2"/>
                <w:szCs w:val="22"/>
              </w:rPr>
              <w:t>– численность обучающихся, задействованных в органах студенческого самоуправления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5818BF" w:rsidRPr="00EC02E6" w:rsidRDefault="005818BF" w:rsidP="00570231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2E6">
              <w:rPr>
                <w:rFonts w:ascii="Times New Roman" w:hAnsi="Times New Roman" w:cs="Times New Roman"/>
                <w:sz w:val="24"/>
                <w:szCs w:val="28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некомерческих организаций, государственных и муниципальных учреждений, в добровольческую (волонтерскую) </w:t>
            </w:r>
            <w:r w:rsidRPr="00EC02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деятельность</w:t>
            </w:r>
            <w:r w:rsidR="0057023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C02E6">
              <w:rPr>
                <w:rFonts w:ascii="Times New Roman" w:hAnsi="Times New Roman" w:cs="Times New Roman"/>
                <w:sz w:val="24"/>
                <w:szCs w:val="28"/>
              </w:rPr>
              <w:t>млн.человек</w:t>
            </w:r>
          </w:p>
        </w:tc>
        <w:tc>
          <w:tcPr>
            <w:tcW w:w="406" w:type="pct"/>
            <w:shd w:val="clear" w:color="auto" w:fill="auto"/>
          </w:tcPr>
          <w:p w:rsidR="005818BF" w:rsidRPr="00EC02E6" w:rsidRDefault="00EC02E6" w:rsidP="00EC02E6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lastRenderedPageBreak/>
              <w:t>0,000900</w:t>
            </w:r>
          </w:p>
        </w:tc>
        <w:tc>
          <w:tcPr>
            <w:tcW w:w="310" w:type="pct"/>
            <w:shd w:val="clear" w:color="auto" w:fill="auto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0,001063</w:t>
            </w:r>
          </w:p>
        </w:tc>
        <w:tc>
          <w:tcPr>
            <w:tcW w:w="310" w:type="pct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0,001129</w:t>
            </w:r>
            <w:r w:rsidR="005818BF" w:rsidRPr="00EC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" w:type="pct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0,001195</w:t>
            </w:r>
          </w:p>
        </w:tc>
        <w:tc>
          <w:tcPr>
            <w:tcW w:w="284" w:type="pct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0,001262</w:t>
            </w:r>
          </w:p>
        </w:tc>
        <w:tc>
          <w:tcPr>
            <w:tcW w:w="308" w:type="pct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0,001302</w:t>
            </w:r>
          </w:p>
        </w:tc>
        <w:tc>
          <w:tcPr>
            <w:tcW w:w="488" w:type="pct"/>
          </w:tcPr>
          <w:p w:rsidR="005818BF" w:rsidRPr="00EC02E6" w:rsidRDefault="00EC02E6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2E6">
              <w:rPr>
                <w:rFonts w:ascii="Times New Roman" w:hAnsi="Times New Roman" w:cs="Times New Roman"/>
                <w:sz w:val="22"/>
                <w:szCs w:val="22"/>
              </w:rPr>
              <w:t>0,001302</w:t>
            </w:r>
          </w:p>
        </w:tc>
        <w:tc>
          <w:tcPr>
            <w:tcW w:w="1530" w:type="pct"/>
          </w:tcPr>
          <w:p w:rsidR="00570231" w:rsidRDefault="00570231" w:rsidP="00570231">
            <w:pPr>
              <w:pStyle w:val="ConsPlusNormal"/>
              <w:jc w:val="both"/>
              <w:rPr>
                <w:sz w:val="22"/>
                <w:szCs w:val="22"/>
              </w:rPr>
            </w:pPr>
            <w:r w:rsidRPr="00570231">
              <w:rPr>
                <w:sz w:val="22"/>
                <w:szCs w:val="22"/>
              </w:rPr>
              <w:t>портфель проектов «Образование»;</w:t>
            </w:r>
          </w:p>
          <w:p w:rsidR="00570231" w:rsidRPr="00570231" w:rsidRDefault="00570231" w:rsidP="0057023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70231" w:rsidRDefault="00570231" w:rsidP="00570231">
            <w:pPr>
              <w:pStyle w:val="ConsPlusNormal"/>
              <w:jc w:val="both"/>
              <w:rPr>
                <w:sz w:val="22"/>
                <w:szCs w:val="22"/>
              </w:rPr>
            </w:pPr>
            <w:r w:rsidRPr="00570231">
              <w:rPr>
                <w:sz w:val="22"/>
                <w:szCs w:val="22"/>
              </w:rPr>
              <w:t>рассчитывается исходя из численности граждан, вовлеченных в добровольческую (волонтерскую) деятельность</w:t>
            </w:r>
          </w:p>
          <w:p w:rsidR="00570231" w:rsidRPr="00570231" w:rsidRDefault="00570231" w:rsidP="00570231">
            <w:pPr>
              <w:pStyle w:val="ConsPlusNormal"/>
              <w:jc w:val="both"/>
              <w:rPr>
                <w:sz w:val="22"/>
                <w:szCs w:val="22"/>
              </w:rPr>
            </w:pPr>
            <w:r w:rsidRPr="00570231">
              <w:rPr>
                <w:sz w:val="22"/>
                <w:szCs w:val="22"/>
              </w:rPr>
              <w:t xml:space="preserve"> </w:t>
            </w:r>
          </w:p>
          <w:p w:rsidR="00570231" w:rsidRPr="00570231" w:rsidRDefault="00570231" w:rsidP="005702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231">
              <w:rPr>
                <w:rFonts w:ascii="Times New Roman" w:hAnsi="Times New Roman" w:cs="Times New Roman"/>
                <w:sz w:val="22"/>
                <w:szCs w:val="22"/>
              </w:rPr>
              <w:t>отчет Ханты-Мансийского района о реализации национального проекта автономного округа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активность</w:t>
            </w:r>
            <w:r w:rsidRPr="005702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818BF" w:rsidRPr="005818BF" w:rsidRDefault="005818BF" w:rsidP="003C4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EC0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ению в творческую деятельность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EC02E6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8" w:type="pct"/>
          </w:tcPr>
          <w:p w:rsidR="005818BF" w:rsidRPr="003C4305" w:rsidRDefault="005818BF" w:rsidP="005818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EC0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портфель проекта  «Образование».</w:t>
            </w:r>
          </w:p>
          <w:p w:rsidR="005818BF" w:rsidRPr="003C4305" w:rsidRDefault="005027EC" w:rsidP="003C430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Times New Roman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*</m:t>
                </m:r>
                <m:r>
                  <w:rPr>
                    <w:rFonts w:ascii="Cambria Math" w:hAnsi="Times New Roman" w:cs="Times New Roman"/>
                    <w:sz w:val="22"/>
                    <w:szCs w:val="22"/>
                  </w:rPr>
                  <m:t>100 %</m:t>
                </m:r>
              </m:oMath>
            </m:oMathPara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где: </w:t>
            </w:r>
          </w:p>
          <w:p w:rsidR="005818BF" w:rsidRPr="003C4305" w:rsidRDefault="005027EC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      </w:r>
          </w:p>
          <w:p w:rsidR="005818BF" w:rsidRPr="003C4305" w:rsidRDefault="005027EC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5818BF"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 – численность молодежи в Ханты-Мансийском автономном округе – Югре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 (%)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8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Правительства Российской Федерации                     от 06.07.2018 № 1375-р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«Об утверждении плана основных мероприятий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2020 года, проводимых в рамках Десятилетия детства»; распоряжение администрации Ханты-Мансийского района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06.12.2018 № 1273-р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«Об утверждении плана основных мероприятий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расчет по формуле: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98905" cy="307340"/>
                  <wp:effectExtent l="0" t="0" r="0" b="0"/>
                  <wp:docPr id="7" name="Рисунок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Д6-17 – доля детей в возрасте 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оздоровления);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Чдобщ6-17 – общая численность детей в возрасте </w:t>
            </w:r>
          </w:p>
          <w:p w:rsidR="005818BF" w:rsidRPr="003C4305" w:rsidRDefault="005818BF" w:rsidP="003C4305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от 6 до 18 лет (демографические данные)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услугами в социальной сфере (%)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88" w:type="pct"/>
          </w:tcPr>
          <w:p w:rsidR="005818BF" w:rsidRPr="003C4305" w:rsidRDefault="005818BF" w:rsidP="005818BF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по формуле:</w:t>
            </w:r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Lуд = Сх / Ссов х 100, где:</w:t>
            </w:r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Lуд – уровень удовлетворенности населения услугами в сфере социального обслуживания;</w:t>
            </w:r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 – число граждан, давших положительную оценку полученным услугам в сфере социального обслуживания;</w:t>
            </w:r>
          </w:p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Ссов – общее число жителей Ханты-Мансийского района, участвующих в социологическом исследовании;</w:t>
            </w:r>
          </w:p>
          <w:p w:rsidR="005818BF" w:rsidRPr="003C4305" w:rsidRDefault="005818BF" w:rsidP="003C4305">
            <w:pPr>
              <w:rPr>
                <w:rStyle w:val="aff4"/>
                <w:rFonts w:ascii="Times New Roman" w:hAnsi="Times New Roman" w:cs="Times New Roman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показателя производится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комитетом по образованию администрации Ханты-Мансийского района</w:t>
            </w: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основе репрезентативных данных ежегодно проводимого </w:t>
            </w: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комитетом по образованию администрации Ханты-Мансийского района</w:t>
            </w: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социологического опроса среди получателей услуг (не менее 300 респондентов)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 (%)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88" w:type="pct"/>
          </w:tcPr>
          <w:p w:rsidR="005818BF" w:rsidRPr="003C4305" w:rsidRDefault="005818BF" w:rsidP="005818BF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t xml:space="preserve">расчет по формуле: </w:t>
            </w:r>
          </w:p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t>Lобщ = Мх / Мсов х 100, где:</w:t>
            </w:r>
          </w:p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t>Lобщ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t>Мх – число молодежи, давшей положительную оценку работе органов местного самоуправления;</w:t>
            </w:r>
          </w:p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t>Мсов – общее число молодежи, участвующей в социологическом исследовании;</w:t>
            </w:r>
          </w:p>
          <w:p w:rsidR="005818BF" w:rsidRPr="003C4305" w:rsidRDefault="005818BF" w:rsidP="003C4305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C4305">
              <w:rPr>
                <w:sz w:val="22"/>
                <w:szCs w:val="22"/>
                <w:lang w:eastAsia="en-US"/>
              </w:rPr>
              <w:lastRenderedPageBreak/>
              <w:t xml:space="preserve">расчет показателя производится комитетом по образованию администрации Ханты-Мансийского района на основе репрезентативных данных ежегодного социологического опроса, проводимого комитетом по  образованию администрации Ханты-Мансийского района в возрасте от 14 до 30 лет </w:t>
            </w:r>
          </w:p>
          <w:p w:rsidR="005818BF" w:rsidRPr="003C4305" w:rsidRDefault="005818BF" w:rsidP="003C4305">
            <w:pPr>
              <w:pStyle w:val="ConsPlusNormal"/>
              <w:rPr>
                <w:rStyle w:val="aff4"/>
              </w:rPr>
            </w:pPr>
            <w:r w:rsidRPr="003C4305">
              <w:rPr>
                <w:sz w:val="22"/>
                <w:szCs w:val="22"/>
                <w:lang w:eastAsia="en-US"/>
              </w:rPr>
              <w:t>(не менее 400 респондентов)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0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2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4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30" w:type="pct"/>
          </w:tcPr>
          <w:p w:rsidR="005818BF" w:rsidRPr="003C4305" w:rsidRDefault="005818BF" w:rsidP="003C4305">
            <w:pPr>
              <w:rPr>
                <w:rStyle w:val="aff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pct"/>
          </w:tcPr>
          <w:p w:rsidR="005818BF" w:rsidRPr="003C4305" w:rsidRDefault="005818BF" w:rsidP="003C4305">
            <w:pPr>
              <w:rPr>
                <w:rStyle w:val="aff4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18BF" w:rsidRPr="0020792D" w:rsidTr="005818BF">
        <w:trPr>
          <w:trHeight w:val="20"/>
        </w:trPr>
        <w:tc>
          <w:tcPr>
            <w:tcW w:w="117" w:type="pct"/>
            <w:shd w:val="clear" w:color="auto" w:fill="auto"/>
          </w:tcPr>
          <w:p w:rsidR="005818B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935" w:type="pct"/>
            <w:shd w:val="clear" w:color="auto" w:fill="auto"/>
          </w:tcPr>
          <w:p w:rsidR="005818BF" w:rsidRPr="003C4305" w:rsidRDefault="005818BF" w:rsidP="003C430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5818BF" w:rsidRPr="003C4305" w:rsidRDefault="005818BF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auto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5818BF" w:rsidRPr="003C4305" w:rsidRDefault="005818BF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pct"/>
          </w:tcPr>
          <w:p w:rsidR="005818BF" w:rsidRPr="003C4305" w:rsidRDefault="005818BF" w:rsidP="003C4305">
            <w:pPr>
              <w:rPr>
                <w:rStyle w:val="aff4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89" w:type="dxa"/>
        <w:tblLayout w:type="fixed"/>
        <w:tblLook w:val="04A0"/>
      </w:tblPr>
      <w:tblGrid>
        <w:gridCol w:w="909"/>
        <w:gridCol w:w="3221"/>
        <w:gridCol w:w="2160"/>
        <w:gridCol w:w="1809"/>
        <w:gridCol w:w="992"/>
        <w:gridCol w:w="1134"/>
        <w:gridCol w:w="992"/>
        <w:gridCol w:w="1050"/>
        <w:gridCol w:w="1134"/>
        <w:gridCol w:w="1133"/>
      </w:tblGrid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093D">
              <w:rPr>
                <w:lang w:eastAsia="ru-RU"/>
              </w:rPr>
              <w:t>10</w:t>
            </w:r>
          </w:p>
        </w:tc>
      </w:tr>
      <w:tr w:rsidR="000C093D" w:rsidRPr="000C093D" w:rsidTr="000C093D">
        <w:trPr>
          <w:trHeight w:val="315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11, 12)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2.1.1.8.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75 410,8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14 911,5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75 410,8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14 911,5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59 919,2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11 329,4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59 919,2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11 329,4</w:t>
            </w:r>
          </w:p>
        </w:tc>
      </w:tr>
      <w:tr w:rsidR="000C093D" w:rsidRPr="000C093D" w:rsidTr="000C093D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0C093D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093D" w:rsidRPr="000C093D" w:rsidTr="000C093D">
        <w:trPr>
          <w:trHeight w:val="8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C093D" w:rsidRPr="000C093D" w:rsidTr="000C093D">
        <w:trPr>
          <w:trHeight w:val="12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энергоэффективности                                                    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093D" w:rsidRPr="000C093D" w:rsidTr="000C093D">
        <w:trPr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9 512,8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093D" w:rsidRPr="000C093D" w:rsidTr="000C093D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9 512,8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093D" w:rsidRPr="000C093D" w:rsidTr="000C093D">
        <w:trPr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093D" w:rsidRPr="000C093D" w:rsidTr="000C093D">
        <w:trPr>
          <w:trHeight w:val="4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093D" w:rsidRPr="000C093D" w:rsidTr="000C093D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302 419,6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39 744,6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302 419,6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39 744,6</w:t>
            </w:r>
          </w:p>
        </w:tc>
      </w:tr>
      <w:tr w:rsidR="000C093D" w:rsidRPr="000C093D" w:rsidTr="000C093D">
        <w:trPr>
          <w:trHeight w:val="315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14, 15, 16)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114 536,1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85 660,8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детского сада п. Луговской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2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174 441,5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114 245,2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9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112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093D" w:rsidRPr="000C093D" w:rsidTr="000C093D">
        <w:trPr>
          <w:trHeight w:val="315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C093D" w:rsidRPr="000C093D" w:rsidTr="000C093D">
        <w:trPr>
          <w:trHeight w:val="3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15, 16)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6 043 496,4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0C093D" w:rsidRPr="000C093D" w:rsidTr="000C093D">
        <w:trPr>
          <w:trHeight w:val="4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6 029 690,0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0C093D" w:rsidRPr="000C093D" w:rsidTr="000C093D">
        <w:trPr>
          <w:trHeight w:val="8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C093D" w:rsidRPr="000C093D" w:rsidTr="000C093D">
        <w:trPr>
          <w:trHeight w:val="7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образовательные программы дошкольного образования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26 946,9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0C093D" w:rsidRPr="000C093D" w:rsidTr="000C093D">
        <w:trPr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потребности населения района в оказании услуг в учреждениях дошкольного образования (содержание учреждений)                                      (показатели 1, 14, 15, 16)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676 453,2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</w:tr>
      <w:tr w:rsidR="000C093D" w:rsidRPr="000C093D" w:rsidTr="000C093D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676 453,2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125 432,0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1 280 151,0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1 280 151,0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251 752,4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1 280 151,0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251 752,4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251 752,4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1 270 757,8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1 270 757,8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249 404,1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465 215,5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463 515,5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463 377,7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98 627,6</w:t>
            </w:r>
          </w:p>
        </w:tc>
      </w:tr>
      <w:tr w:rsidR="000C093D" w:rsidRPr="000C093D" w:rsidTr="000C093D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0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325 523,7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325 523,7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70 797,6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негосударственным (немуниципальным) организациям, в том числе СОНКО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C093D" w:rsidRPr="000C093D" w:rsidTr="000C093D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093D" w:rsidRPr="000C093D" w:rsidTr="000C093D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093D" w:rsidRPr="000C093D" w:rsidTr="000C093D">
        <w:trPr>
          <w:trHeight w:val="7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C093D" w:rsidRPr="000C093D" w:rsidTr="000C093D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0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0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C093D" w:rsidRPr="000C093D" w:rsidTr="000C093D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C093D" w:rsidRPr="000C093D" w:rsidTr="000C093D">
        <w:trPr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C093D" w:rsidRPr="000C093D" w:rsidTr="000C093D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9 057 386,5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1 841 122,9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1 861 030,5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6 030 727,0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3 012 190,1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598 025,3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598 025,3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3 002 018,5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594 680,7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594 680,7</w:t>
            </w:r>
          </w:p>
        </w:tc>
      </w:tr>
      <w:tr w:rsidR="000C093D" w:rsidRPr="000C093D" w:rsidTr="000C093D">
        <w:trPr>
          <w:trHeight w:val="106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0C093D" w:rsidRPr="000C093D" w:rsidTr="000C093D">
        <w:trPr>
          <w:trHeight w:val="102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(показатели 17, 19, 21, 22)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C093D" w:rsidRPr="000C093D" w:rsidTr="000C093D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C093D" w:rsidRPr="000C093D" w:rsidTr="000C093D">
        <w:trPr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(показатели 17, 19, 21, 22)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C093D" w:rsidRPr="000C093D" w:rsidTr="000C093D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C093D" w:rsidRPr="000C093D" w:rsidTr="000C093D">
        <w:trPr>
          <w:trHeight w:val="7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(показатель 20)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бюджетное учреждение дополнительного образования «Детско-юношеская спортивная школа Ханты-Мансийского района»), </w:t>
            </w: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Ханты-Мансийского района (комитет по финансам, сельские поселения), 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0C093D" w:rsidRPr="000C093D" w:rsidTr="000C093D">
        <w:trPr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0C093D" w:rsidRPr="000C093D" w:rsidTr="000C093D">
        <w:trPr>
          <w:trHeight w:val="8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0C093D" w:rsidRPr="000C093D" w:rsidTr="000C093D">
        <w:trPr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9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0C093D" w:rsidRPr="000C093D" w:rsidTr="000C093D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C093D" w:rsidRPr="000C093D" w:rsidTr="000C093D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0C093D" w:rsidRPr="000C093D" w:rsidTr="000C093D">
        <w:trPr>
          <w:trHeight w:val="7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C093D" w:rsidRPr="000C093D" w:rsidTr="000C093D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</w:t>
            </w: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1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C093D" w:rsidRPr="000C093D" w:rsidTr="000C093D">
        <w:trPr>
          <w:trHeight w:val="63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C093D" w:rsidRPr="000C093D" w:rsidTr="000C093D">
        <w:trPr>
          <w:trHeight w:val="2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</w:t>
            </w: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по образованию </w:t>
            </w: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C093D" w:rsidRPr="000C093D" w:rsidTr="000C093D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6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22)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C093D" w:rsidRPr="000C093D" w:rsidTr="000C093D">
        <w:trPr>
          <w:trHeight w:val="15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7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7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7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C093D" w:rsidRPr="000C093D" w:rsidTr="000C093D">
        <w:trPr>
          <w:trHeight w:val="3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C093D" w:rsidRPr="000C093D" w:rsidTr="000C093D">
        <w:trPr>
          <w:trHeight w:val="100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социальной активности граждан Ханты-Мансийского района (показатели 18, 19, 22)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</w:tr>
      <w:tr w:rsidR="000C093D" w:rsidRPr="000C093D" w:rsidTr="000C093D">
        <w:trPr>
          <w:trHeight w:val="9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1 655,1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5.5.1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добровольческого(волонтерского) движения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</w:tr>
      <w:tr w:rsidR="000C093D" w:rsidRPr="000C093D" w:rsidTr="000C093D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</w:tr>
      <w:tr w:rsidR="000C093D" w:rsidRPr="000C093D" w:rsidTr="000C093D">
        <w:trPr>
          <w:trHeight w:val="4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</w:tr>
      <w:tr w:rsidR="000C093D" w:rsidRPr="000C093D" w:rsidTr="000C093D">
        <w:trPr>
          <w:trHeight w:val="4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</w:tr>
      <w:tr w:rsidR="000C093D" w:rsidRPr="000C093D" w:rsidTr="000C093D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</w:tr>
      <w:tr w:rsidR="000C093D" w:rsidRPr="000C093D" w:rsidTr="000C093D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</w:tr>
      <w:tr w:rsidR="000C093D" w:rsidRPr="000C093D" w:rsidTr="000C093D">
        <w:trPr>
          <w:trHeight w:val="4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</w:tr>
      <w:tr w:rsidR="000C093D" w:rsidRPr="000C093D" w:rsidTr="000C093D">
        <w:trPr>
          <w:trHeight w:val="4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1 071,4</w:t>
            </w:r>
          </w:p>
        </w:tc>
      </w:tr>
      <w:tr w:rsidR="000C093D" w:rsidRPr="000C093D" w:rsidTr="005C33B4">
        <w:trPr>
          <w:trHeight w:val="20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C093D" w:rsidRPr="000C093D" w:rsidRDefault="000C093D" w:rsidP="005C33B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5.6.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21, 23)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C093D" w:rsidRPr="000C093D" w:rsidTr="000C093D">
        <w:trPr>
          <w:trHeight w:val="16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C093D" w:rsidRPr="000C093D" w:rsidTr="000C093D">
        <w:trPr>
          <w:trHeight w:val="7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5.6.1.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C093D" w:rsidRPr="000C093D" w:rsidTr="000C093D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C093D" w:rsidRPr="000C093D" w:rsidTr="000C093D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5.6.2.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C093D" w:rsidRPr="000C093D" w:rsidTr="000C093D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C093D" w:rsidRPr="000C093D" w:rsidTr="000C093D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5.6.3.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</w:t>
            </w: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развитие" за счет средств бюджета автономного округа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C093D" w:rsidRPr="000C093D" w:rsidTr="000C093D">
        <w:trPr>
          <w:trHeight w:val="11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C093D" w:rsidRPr="000C093D" w:rsidTr="000C093D">
        <w:trPr>
          <w:trHeight w:val="9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5.6.4.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0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C093D" w:rsidRPr="000C093D" w:rsidTr="000C093D">
        <w:trPr>
          <w:trHeight w:val="9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276 998,3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88 977,8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91 029,7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33 080,1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11 026,7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27 090,9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9 030,3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9 821 644,9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2 006 731,2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1 971 654,1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1 993 613,6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6 334 841,5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3 472 334,0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657 762,5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650 605,4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650 605,4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3 449 381,8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645 264,4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645 264,4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22 952,2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0C093D" w:rsidRPr="000C093D" w:rsidTr="000C093D">
        <w:trPr>
          <w:trHeight w:val="102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630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168 866,7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108 670,4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9 652 778,2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2 006 731,2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1 971 654,1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1 993 613,6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6 274 645,2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3 363 663,6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657 762,5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650 605,4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650 605,4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3 347 502,8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645 264,4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645 264,4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16 160,8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0C093D" w:rsidRPr="000C093D" w:rsidTr="000C093D">
        <w:trPr>
          <w:trHeight w:val="102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9 212 168,2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1 893 679,9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1 872 872,9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1 892 780,5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6 089 031,4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1 250 677,2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1 270 584,8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3 108 667,4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622 195,7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3 089 401,4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618 036,9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617 136,9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617 136,9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19 266,0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0C093D" w:rsidRPr="000C093D" w:rsidTr="000C093D">
        <w:trPr>
          <w:trHeight w:val="102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262 131,6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38 058,1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221 233,9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C093D" w:rsidRPr="000C093D" w:rsidTr="000C093D">
        <w:trPr>
          <w:trHeight w:val="25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(администрация Ханты-Мансийского района (отдел по культуре, спорту и социальной политике, муниципальное бюджетное учреждение дополнительного образования «Детско-юношеская спортивная школа Ханты-Мансийского района»))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C093D" w:rsidRPr="000C093D" w:rsidTr="000C093D">
        <w:trPr>
          <w:trHeight w:val="63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93D" w:rsidRPr="000C093D" w:rsidTr="000C093D">
        <w:trPr>
          <w:trHeight w:val="27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127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C093D" w:rsidRPr="000C093D" w:rsidTr="000C093D">
        <w:trPr>
          <w:trHeight w:val="315"/>
        </w:trPr>
        <w:tc>
          <w:tcPr>
            <w:tcW w:w="6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C093D" w:rsidRPr="000C093D" w:rsidTr="000C093D">
        <w:trPr>
          <w:trHeight w:val="510"/>
        </w:trPr>
        <w:tc>
          <w:tcPr>
            <w:tcW w:w="6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3D" w:rsidRPr="000C093D" w:rsidRDefault="000C093D" w:rsidP="000C09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9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</w:tbl>
    <w:p w:rsidR="000C093D" w:rsidRDefault="000C093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93D" w:rsidRDefault="000C093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05" w:rsidRDefault="003C4305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BA" w:rsidRDefault="00961DB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E4398" w:rsidRPr="0020792D" w:rsidRDefault="008F1F3D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083B1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083B1C"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DB6B66" w:rsidRDefault="00DB6B66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C93D03" w:rsidRPr="002D77C0" w:rsidTr="00E27724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3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C93D03" w:rsidRPr="002D77C0" w:rsidRDefault="00C93D03" w:rsidP="00C93D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3B1C" w:rsidRPr="002D77C0" w:rsidTr="00E27724">
        <w:trPr>
          <w:gridAfter w:val="1"/>
          <w:wAfter w:w="5" w:type="pct"/>
          <w:trHeight w:val="20"/>
        </w:trPr>
        <w:tc>
          <w:tcPr>
            <w:tcW w:w="4746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083B1C" w:rsidRPr="002D77C0" w:rsidRDefault="00083B1C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083B1C" w:rsidRPr="002D77C0" w:rsidRDefault="00083B1C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 w:val="restart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C93D03" w:rsidRPr="005C33B4" w:rsidRDefault="00D279F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93D03"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4.4.5.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93D03"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  «Успех каждого ребенка»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93D03" w:rsidRPr="005C33B4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(показатель </w:t>
            </w:r>
            <w:r w:rsidR="005C33B4"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C93D03" w:rsidRDefault="00C93D03" w:rsidP="00C93D03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C93D03" w:rsidRPr="002D77C0" w:rsidRDefault="00E27724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C93D03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C93D03" w:rsidRDefault="00C93D03" w:rsidP="00C93D03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C93D03" w:rsidRDefault="00C93D03" w:rsidP="00C93D03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C93D03" w:rsidRDefault="00C93D03" w:rsidP="00C93D03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1"/>
          <w:wAfter w:w="5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C93D03" w:rsidRPr="002D77C0" w:rsidRDefault="00C93D03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C93D03" w:rsidRDefault="00C93D03" w:rsidP="00C93D03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gridSpan w:val="3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7" w:type="pct"/>
            <w:gridSpan w:val="3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C93D03" w:rsidRPr="002D77C0" w:rsidRDefault="00C93D03" w:rsidP="00083B1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7" w:type="pct"/>
            <w:gridSpan w:val="3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C93D03" w:rsidRPr="002D77C0" w:rsidRDefault="00C93D03" w:rsidP="00083B1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7" w:type="pct"/>
            <w:gridSpan w:val="3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93D03" w:rsidRPr="002D77C0" w:rsidRDefault="00C93D03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C93D03" w:rsidRPr="002D77C0" w:rsidRDefault="00C93D03" w:rsidP="00083B1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3B1C" w:rsidRPr="002D77C0" w:rsidTr="00E2772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083B1C" w:rsidRPr="002D77C0" w:rsidRDefault="00083B1C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C93D03" w:rsidRDefault="00D279F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C93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</w:t>
            </w:r>
            <w:r w:rsidR="00C93D03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C93D03" w:rsidRPr="002D77C0" w:rsidRDefault="00C93D03" w:rsidP="00C93D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Pr="002D77C0" w:rsidRDefault="00C93D03" w:rsidP="00083B1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C93D03" w:rsidRPr="00083B1C" w:rsidRDefault="00961DBA" w:rsidP="00961DBA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="00C93D03"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93D03" w:rsidRPr="002D77C0" w:rsidRDefault="00C93D03" w:rsidP="00C93D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7724" w:rsidRPr="002D77C0" w:rsidTr="00E27724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93D03" w:rsidRPr="002D77C0" w:rsidRDefault="00C93D03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C93D03" w:rsidRDefault="00C93D03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2EA3" w:rsidRDefault="00D82EA3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90"/>
        <w:gridCol w:w="4284"/>
        <w:gridCol w:w="1719"/>
        <w:gridCol w:w="855"/>
        <w:gridCol w:w="855"/>
        <w:gridCol w:w="855"/>
        <w:gridCol w:w="980"/>
        <w:gridCol w:w="1231"/>
        <w:gridCol w:w="1953"/>
      </w:tblGrid>
      <w:tr w:rsidR="00D82EA3" w:rsidRPr="0020792D" w:rsidTr="00D24A89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D24A89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Реализация основных общеобразовательных программ </w:t>
            </w:r>
            <w:r w:rsidRPr="0020792D">
              <w:rPr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208 260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D82EA3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  <w:tr w:rsidR="00227F5A" w:rsidRPr="0020792D" w:rsidTr="00D24A8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8D2E44" w:rsidRPr="0020792D" w:rsidRDefault="008D2E44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DA75B8">
            <w:pPr>
              <w:pStyle w:val="ConsPlusNormal"/>
              <w:ind w:left="28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075B08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  <w:r w:rsidR="00861BEA">
              <w:rPr>
                <w:szCs w:val="24"/>
              </w:rPr>
              <w:t xml:space="preserve"> (проектирование, строительство, реконструкция)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075B08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 (проектирование, строительство, реконструкция)</w:t>
            </w:r>
          </w:p>
        </w:tc>
      </w:tr>
      <w:tr w:rsidR="00E507D8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507D8" w:rsidRPr="0020792D" w:rsidRDefault="00E507D8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E507D8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>прямые инвестиции (проектирование, строительство, реконструкция)</w:t>
            </w:r>
          </w:p>
        </w:tc>
      </w:tr>
      <w:tr w:rsidR="00E507D8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2020 - 2020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E507D8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  <w:r w:rsidRPr="004E40E2">
              <w:rPr>
                <w:color w:val="000000"/>
                <w:szCs w:val="24"/>
              </w:rPr>
              <w:t>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E507D8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DA75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–2020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E507D8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>прямые инвестиции (проектирование, строительство, реконструкция)</w:t>
            </w:r>
          </w:p>
        </w:tc>
      </w:tr>
    </w:tbl>
    <w:p w:rsidR="00FE70CD" w:rsidRPr="0020792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75B08" w:rsidRDefault="00356C91" w:rsidP="006D64AB">
      <w:pPr>
        <w:pStyle w:val="afe"/>
        <w:ind w:firstLine="709"/>
        <w:jc w:val="both"/>
        <w:rPr>
          <w:sz w:val="22"/>
          <w:szCs w:val="24"/>
        </w:rPr>
      </w:pPr>
      <w:r w:rsidRPr="00075B08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Pr="00DA75B8" w:rsidRDefault="005B187E" w:rsidP="006D64A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E507D8" w:rsidRPr="00B93AD4" w:rsidTr="0079155D">
        <w:trPr>
          <w:trHeight w:val="1443"/>
        </w:trPr>
        <w:tc>
          <w:tcPr>
            <w:tcW w:w="6294" w:type="dxa"/>
            <w:shd w:val="clear" w:color="auto" w:fill="auto"/>
          </w:tcPr>
          <w:p w:rsidR="00E507D8" w:rsidRDefault="00E507D8" w:rsidP="0079155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  <w:r w:rsidRPr="00792FE5">
              <w:rPr>
                <w:rFonts w:eastAsia="Calibri"/>
                <w:noProof/>
                <w:lang w:eastAsia="ru-RU"/>
              </w:rPr>
              <w:pict>
                <v:group id="Группа 4" o:spid="_x0000_s1027" style="position:absolute;left:0;text-align:left;margin-left:297.55pt;margin-top:3.3pt;width:200pt;height:70.5pt;z-index:25166387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E507D8" w:rsidRPr="00B93AD4" w:rsidRDefault="00E507D8" w:rsidP="0079155D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E507D8" w:rsidRPr="00B93AD4" w:rsidRDefault="00E507D8" w:rsidP="007915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544" w:type="dxa"/>
            <w:shd w:val="clear" w:color="auto" w:fill="auto"/>
            <w:vAlign w:val="center"/>
          </w:tcPr>
          <w:p w:rsidR="00E507D8" w:rsidRPr="00B93AD4" w:rsidRDefault="00E507D8" w:rsidP="0079155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3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E507D8" w:rsidRPr="00B93AD4" w:rsidRDefault="00E507D8" w:rsidP="0079155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E507D8" w:rsidRPr="00B93AD4" w:rsidRDefault="00E507D8" w:rsidP="0079155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E507D8" w:rsidRPr="00B93AD4" w:rsidRDefault="00E507D8" w:rsidP="0079155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E507D8" w:rsidRPr="00B93AD4" w:rsidRDefault="00E507D8" w:rsidP="0079155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E507D8" w:rsidRPr="00B93AD4" w:rsidRDefault="00E507D8" w:rsidP="0079155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5415" w:type="dxa"/>
            <w:shd w:val="clear" w:color="auto" w:fill="auto"/>
          </w:tcPr>
          <w:p w:rsidR="00E507D8" w:rsidRPr="00B93AD4" w:rsidRDefault="00E507D8" w:rsidP="007915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507D8" w:rsidRPr="00B93AD4" w:rsidRDefault="00E507D8" w:rsidP="007915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7D8" w:rsidRPr="00B93AD4" w:rsidRDefault="00E507D8" w:rsidP="007915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E507D8" w:rsidRPr="0020792D" w:rsidRDefault="00E507D8" w:rsidP="00E507D8">
      <w:pPr>
        <w:rPr>
          <w:rFonts w:ascii="Times New Roman" w:hAnsi="Times New Roman" w:cs="Times New Roman"/>
          <w:sz w:val="28"/>
          <w:szCs w:val="28"/>
        </w:rPr>
      </w:pP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1"/>
      <w:headerReference w:type="default" r:id="rId22"/>
      <w:headerReference w:type="first" r:id="rId2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F1" w:rsidRDefault="007E4DF1">
      <w:r>
        <w:separator/>
      </w:r>
    </w:p>
  </w:endnote>
  <w:endnote w:type="continuationSeparator" w:id="1">
    <w:p w:rsidR="007E4DF1" w:rsidRDefault="007E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F1" w:rsidRDefault="007E4DF1">
      <w:r>
        <w:separator/>
      </w:r>
    </w:p>
  </w:footnote>
  <w:footnote w:type="continuationSeparator" w:id="1">
    <w:p w:rsidR="007E4DF1" w:rsidRDefault="007E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Content>
      <w:p w:rsidR="005C33B4" w:rsidRPr="001E27FF" w:rsidRDefault="005C33B4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A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B4" w:rsidRDefault="005C33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B4" w:rsidRPr="00DA75B8" w:rsidRDefault="005C33B4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E507D8">
      <w:rPr>
        <w:rFonts w:ascii="Times New Roman" w:hAnsi="Times New Roman" w:cs="Times New Roman"/>
        <w:noProof/>
      </w:rPr>
      <w:t>17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B4" w:rsidRDefault="005C3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0E69"/>
    <w:rsid w:val="00003BD0"/>
    <w:rsid w:val="00007329"/>
    <w:rsid w:val="00013BFC"/>
    <w:rsid w:val="00015A26"/>
    <w:rsid w:val="0001751D"/>
    <w:rsid w:val="000220E6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4316"/>
    <w:rsid w:val="000B06A7"/>
    <w:rsid w:val="000B2907"/>
    <w:rsid w:val="000C093D"/>
    <w:rsid w:val="000C1CAC"/>
    <w:rsid w:val="000C1DC1"/>
    <w:rsid w:val="000C2D43"/>
    <w:rsid w:val="000C771C"/>
    <w:rsid w:val="000D1DF2"/>
    <w:rsid w:val="000D26C0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27B36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B22EF"/>
    <w:rsid w:val="001B4290"/>
    <w:rsid w:val="001B49F3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27F5A"/>
    <w:rsid w:val="002347E9"/>
    <w:rsid w:val="00243942"/>
    <w:rsid w:val="002554FC"/>
    <w:rsid w:val="00255BAE"/>
    <w:rsid w:val="00260576"/>
    <w:rsid w:val="0027402D"/>
    <w:rsid w:val="00274A8F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C65BF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4AD"/>
    <w:rsid w:val="00317A04"/>
    <w:rsid w:val="00320072"/>
    <w:rsid w:val="003213BC"/>
    <w:rsid w:val="0032224B"/>
    <w:rsid w:val="00322A6F"/>
    <w:rsid w:val="003321C5"/>
    <w:rsid w:val="00340F6F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C4305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027EC"/>
    <w:rsid w:val="0051131E"/>
    <w:rsid w:val="00514E40"/>
    <w:rsid w:val="005163EA"/>
    <w:rsid w:val="00520FE1"/>
    <w:rsid w:val="005219FA"/>
    <w:rsid w:val="00522213"/>
    <w:rsid w:val="00522CC5"/>
    <w:rsid w:val="0052622C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A028C"/>
    <w:rsid w:val="005B1417"/>
    <w:rsid w:val="005B187E"/>
    <w:rsid w:val="005C2BFB"/>
    <w:rsid w:val="005C33B4"/>
    <w:rsid w:val="005C41FE"/>
    <w:rsid w:val="005C4E43"/>
    <w:rsid w:val="005C6F02"/>
    <w:rsid w:val="005D0AD9"/>
    <w:rsid w:val="005D24CF"/>
    <w:rsid w:val="005D613F"/>
    <w:rsid w:val="005D6C25"/>
    <w:rsid w:val="005E3A3C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2B0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D64AB"/>
    <w:rsid w:val="006E4F76"/>
    <w:rsid w:val="006E517A"/>
    <w:rsid w:val="006F04ED"/>
    <w:rsid w:val="007010F2"/>
    <w:rsid w:val="00702C4E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2C53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2D23"/>
    <w:rsid w:val="009452E2"/>
    <w:rsid w:val="00945E1E"/>
    <w:rsid w:val="00955EB1"/>
    <w:rsid w:val="00961DBA"/>
    <w:rsid w:val="00967488"/>
    <w:rsid w:val="00975F4C"/>
    <w:rsid w:val="00976795"/>
    <w:rsid w:val="009911D8"/>
    <w:rsid w:val="00994417"/>
    <w:rsid w:val="0099613B"/>
    <w:rsid w:val="009A46C4"/>
    <w:rsid w:val="009A69E9"/>
    <w:rsid w:val="009B29B5"/>
    <w:rsid w:val="009B4702"/>
    <w:rsid w:val="009D7214"/>
    <w:rsid w:val="009E0D95"/>
    <w:rsid w:val="009E3298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40115"/>
    <w:rsid w:val="00A50D00"/>
    <w:rsid w:val="00A51661"/>
    <w:rsid w:val="00A53CD9"/>
    <w:rsid w:val="00A632DC"/>
    <w:rsid w:val="00A65104"/>
    <w:rsid w:val="00A67E66"/>
    <w:rsid w:val="00A7259D"/>
    <w:rsid w:val="00A8143F"/>
    <w:rsid w:val="00A81ADE"/>
    <w:rsid w:val="00A82824"/>
    <w:rsid w:val="00A83FAC"/>
    <w:rsid w:val="00A87E18"/>
    <w:rsid w:val="00A91EAB"/>
    <w:rsid w:val="00A95551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2EA3"/>
    <w:rsid w:val="00D84279"/>
    <w:rsid w:val="00DA124C"/>
    <w:rsid w:val="00DA75B8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2A4B"/>
    <w:rsid w:val="00E44CAA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29DA"/>
    <w:rsid w:val="00E73D06"/>
    <w:rsid w:val="00E82850"/>
    <w:rsid w:val="00E8339E"/>
    <w:rsid w:val="00E8513D"/>
    <w:rsid w:val="00E8604F"/>
    <w:rsid w:val="00E93B1F"/>
    <w:rsid w:val="00E9591E"/>
    <w:rsid w:val="00E97944"/>
    <w:rsid w:val="00EB0DED"/>
    <w:rsid w:val="00EB4B17"/>
    <w:rsid w:val="00EC02E6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48E2-FD17-4041-8BC8-EFEBFDF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51</Pages>
  <Words>12878</Words>
  <Characters>73410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ЦБ</cp:lastModifiedBy>
  <cp:revision>129</cp:revision>
  <cp:lastPrinted>2020-11-02T16:40:00Z</cp:lastPrinted>
  <dcterms:created xsi:type="dcterms:W3CDTF">2020-04-14T08:02:00Z</dcterms:created>
  <dcterms:modified xsi:type="dcterms:W3CDTF">2020-11-03T09:12:00Z</dcterms:modified>
</cp:coreProperties>
</file>